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6"/>
          <w:szCs w:val="36"/>
          <w:lang w:val="en-US" w:eastAsia="zh-CN"/>
        </w:rPr>
      </w:pPr>
      <w:r>
        <w:rPr>
          <w:rFonts w:hint="eastAsia"/>
          <w:b/>
          <w:bCs/>
          <w:sz w:val="36"/>
          <w:szCs w:val="36"/>
          <w:lang w:val="en-US" w:eastAsia="zh-CN"/>
        </w:rPr>
        <w:t>用户数据库V1.0</w:t>
      </w:r>
    </w:p>
    <w:p>
      <w:pPr>
        <w:pStyle w:val="2"/>
        <w:bidi w:val="0"/>
        <w:rPr>
          <w:rFonts w:hint="default"/>
          <w:lang w:val="en-US" w:eastAsia="zh-CN"/>
        </w:rPr>
      </w:pPr>
      <w:r>
        <w:rPr>
          <w:rFonts w:hint="eastAsia"/>
          <w:lang w:val="en-US" w:eastAsia="zh-CN"/>
        </w:rPr>
        <w:t>项目说明</w:t>
      </w:r>
    </w:p>
    <w:p>
      <w:pPr>
        <w:rPr>
          <w:rFonts w:hint="eastAsia"/>
          <w:lang w:val="en-US" w:eastAsia="zh-CN"/>
        </w:rPr>
      </w:pPr>
      <w:r>
        <w:rPr>
          <w:rFonts w:hint="eastAsia"/>
          <w:lang w:val="en-US" w:eastAsia="zh-CN"/>
        </w:rPr>
        <w:t>目前公司面临用户数据孤岛、数据维护混乱、数据价值利用低的问题，现准备开发一套用户数据库，依据公司的业务和构架梳理关系网，构建一套把数据变成资产并服务于我们的机制。</w:t>
      </w:r>
    </w:p>
    <w:p>
      <w:pPr>
        <w:rPr>
          <w:rFonts w:hint="eastAsia"/>
          <w:lang w:val="en-US" w:eastAsia="zh-CN"/>
        </w:rPr>
      </w:pPr>
    </w:p>
    <w:p>
      <w:pPr>
        <w:rPr>
          <w:rFonts w:hint="eastAsia"/>
          <w:lang w:val="en-US" w:eastAsia="zh-CN"/>
        </w:rPr>
      </w:pPr>
      <w:r>
        <w:rPr>
          <w:rFonts w:hint="eastAsia"/>
          <w:lang w:val="en-US" w:eastAsia="zh-CN"/>
        </w:rPr>
        <w:t>因项目周期紧张，V1.0版本主要围绕“存数据、贴标签”两大核心重点来展开。</w:t>
      </w:r>
    </w:p>
    <w:p>
      <w:pPr>
        <w:pStyle w:val="2"/>
        <w:bidi w:val="0"/>
        <w:rPr>
          <w:rFonts w:hint="eastAsia"/>
          <w:lang w:val="en-US" w:eastAsia="zh-CN"/>
        </w:rPr>
      </w:pPr>
      <w:r>
        <w:rPr>
          <w:rFonts w:hint="eastAsia"/>
          <w:lang w:val="en-US" w:eastAsia="zh-CN"/>
        </w:rPr>
        <w:t>两大核心</w:t>
      </w:r>
    </w:p>
    <w:p>
      <w:pPr>
        <w:pStyle w:val="3"/>
        <w:bidi w:val="0"/>
        <w:rPr>
          <w:rFonts w:hint="eastAsia"/>
          <w:lang w:val="en-US" w:eastAsia="zh-CN"/>
        </w:rPr>
      </w:pPr>
      <w:r>
        <w:rPr>
          <w:rFonts w:hint="eastAsia"/>
          <w:lang w:val="en-US" w:eastAsia="zh-CN"/>
        </w:rPr>
        <w:t>数据</w:t>
      </w:r>
    </w:p>
    <w:p>
      <w:pPr>
        <w:rPr>
          <w:rFonts w:hint="eastAsia"/>
          <w:lang w:val="en-US" w:eastAsia="zh-CN"/>
        </w:rPr>
      </w:pPr>
      <w:r>
        <w:rPr>
          <w:rFonts w:hint="eastAsia"/>
          <w:lang w:val="en-US" w:eastAsia="zh-CN"/>
        </w:rPr>
        <w:t>数据来源（标红为核心数据来源）：</w:t>
      </w:r>
    </w:p>
    <w:p>
      <w:pPr>
        <w:rPr>
          <w:rFonts w:hint="eastAsia"/>
          <w:lang w:val="en-US" w:eastAsia="zh-CN"/>
        </w:rPr>
      </w:pPr>
      <w:r>
        <w:rPr>
          <w:rFonts w:hint="eastAsia"/>
          <w:lang w:val="en-US" w:eastAsia="zh-CN"/>
        </w:rPr>
        <w:t>线上：</w:t>
      </w:r>
      <w:r>
        <w:rPr>
          <w:rFonts w:hint="eastAsia"/>
          <w:color w:val="FF0000"/>
          <w:lang w:val="en-US" w:eastAsia="zh-CN"/>
        </w:rPr>
        <w:t>光博会观众系统</w:t>
      </w:r>
      <w:r>
        <w:rPr>
          <w:rFonts w:hint="eastAsia"/>
          <w:lang w:val="en-US" w:eastAsia="zh-CN"/>
        </w:rPr>
        <w:t>、光电汇、易光电、光博会展商系统（CRM系统作为独立的客户管理系统，不纳入用户数据库中）</w:t>
      </w:r>
    </w:p>
    <w:p>
      <w:pPr>
        <w:rPr>
          <w:rFonts w:hint="default"/>
          <w:lang w:val="en-US" w:eastAsia="zh-CN"/>
        </w:rPr>
      </w:pPr>
      <w:r>
        <w:rPr>
          <w:rFonts w:hint="eastAsia"/>
          <w:lang w:val="en-US" w:eastAsia="zh-CN"/>
        </w:rPr>
        <w:t>线下：</w:t>
      </w:r>
      <w:r>
        <w:rPr>
          <w:rFonts w:hint="eastAsia"/>
          <w:color w:val="FF0000"/>
          <w:lang w:val="en-US" w:eastAsia="zh-CN"/>
        </w:rPr>
        <w:t>导入</w:t>
      </w:r>
      <w:r>
        <w:rPr>
          <w:rFonts w:hint="eastAsia"/>
          <w:lang w:val="en-US" w:eastAsia="zh-CN"/>
        </w:rPr>
        <w:t>、OA系统（一次性导入，后期弃用）</w:t>
      </w:r>
    </w:p>
    <w:p>
      <w:pPr>
        <w:rPr>
          <w:rFonts w:hint="default"/>
          <w:lang w:val="en-US" w:eastAsia="zh-CN"/>
        </w:rPr>
      </w:pPr>
    </w:p>
    <w:p>
      <w:pPr>
        <w:rPr>
          <w:rFonts w:hint="eastAsia"/>
          <w:lang w:val="en-US" w:eastAsia="zh-CN"/>
        </w:rPr>
      </w:pPr>
      <w:r>
        <w:rPr>
          <w:rFonts w:hint="eastAsia"/>
          <w:lang w:val="en-US" w:eastAsia="zh-CN"/>
        </w:rPr>
        <w:t>数据由字段组成，目前共18个字段，不在范围内的统一写在“备注”里。</w:t>
      </w:r>
    </w:p>
    <w:p>
      <w:pPr>
        <w:rPr>
          <w:rFonts w:hint="default"/>
          <w:lang w:val="en-US" w:eastAsia="zh-CN"/>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10"/>
        <w:gridCol w:w="3211"/>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字段利用率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46"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核心字段</w:t>
            </w:r>
          </w:p>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姓名</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单位</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部门</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职务/职位</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手机</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邮箱</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固话</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单位类型</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领域/方向</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补充字段</w:t>
            </w:r>
          </w:p>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职称</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性别</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国家</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省</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市</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区</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地址</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4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邮编</w:t>
            </w:r>
          </w:p>
        </w:tc>
        <w:tc>
          <w:tcPr>
            <w:tcW w:w="19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r>
    </w:tbl>
    <w:p>
      <w:pPr>
        <w:rPr>
          <w:rFonts w:hint="eastAsia" w:ascii="微软雅黑" w:hAnsi="微软雅黑" w:eastAsia="微软雅黑" w:cs="微软雅黑"/>
          <w:i w:val="0"/>
          <w:caps w:val="0"/>
          <w:color w:val="323232"/>
          <w:spacing w:val="0"/>
          <w:sz w:val="19"/>
          <w:szCs w:val="19"/>
          <w:lang w:val="en-US" w:eastAsia="zh-CN"/>
        </w:rPr>
      </w:pPr>
      <w:r>
        <w:rPr>
          <w:rFonts w:hint="eastAsia" w:ascii="微软雅黑" w:hAnsi="微软雅黑" w:eastAsia="微软雅黑" w:cs="微软雅黑"/>
          <w:i w:val="0"/>
          <w:caps w:val="0"/>
          <w:color w:val="323232"/>
          <w:spacing w:val="0"/>
          <w:sz w:val="19"/>
          <w:szCs w:val="19"/>
          <w:lang w:val="en-US" w:eastAsia="zh-CN"/>
        </w:rPr>
        <w:t>用户列表显示字段：</w:t>
      </w:r>
    </w:p>
    <w:p>
      <w:pPr>
        <w:rPr>
          <w:rFonts w:hint="default" w:ascii="微软雅黑" w:hAnsi="微软雅黑" w:eastAsia="微软雅黑" w:cs="微软雅黑"/>
          <w:i w:val="0"/>
          <w:caps w:val="0"/>
          <w:color w:val="323232"/>
          <w:spacing w:val="0"/>
          <w:sz w:val="19"/>
          <w:szCs w:val="19"/>
          <w:lang w:val="en-US" w:eastAsia="zh-CN"/>
        </w:rPr>
      </w:pPr>
      <w:r>
        <w:rPr>
          <w:rFonts w:hint="eastAsia" w:ascii="微软雅黑" w:hAnsi="微软雅黑" w:eastAsia="微软雅黑" w:cs="微软雅黑"/>
          <w:i w:val="0"/>
          <w:caps w:val="0"/>
          <w:color w:val="323232"/>
          <w:spacing w:val="0"/>
          <w:sz w:val="19"/>
          <w:szCs w:val="19"/>
          <w:lang w:val="en-US" w:eastAsia="zh-CN"/>
        </w:rPr>
        <w:t>ID、标签（修改）、姓名、单位、职务/职位、联系方式、领域/方向、部门、备注、操作（修改、查看）</w:t>
      </w:r>
    </w:p>
    <w:p>
      <w:pPr>
        <w:rPr>
          <w:rFonts w:hint="eastAsia" w:ascii="微软雅黑" w:hAnsi="微软雅黑" w:eastAsia="微软雅黑" w:cs="微软雅黑"/>
          <w:i w:val="0"/>
          <w:caps w:val="0"/>
          <w:color w:val="323232"/>
          <w:spacing w:val="0"/>
          <w:sz w:val="19"/>
          <w:szCs w:val="19"/>
          <w:lang w:val="en-US" w:eastAsia="zh-CN"/>
        </w:rPr>
      </w:pPr>
      <w:r>
        <w:rPr>
          <w:rFonts w:hint="eastAsia" w:ascii="微软雅黑" w:hAnsi="微软雅黑" w:eastAsia="微软雅黑" w:cs="微软雅黑"/>
          <w:i w:val="0"/>
          <w:caps w:val="0"/>
          <w:color w:val="323232"/>
          <w:spacing w:val="0"/>
          <w:sz w:val="19"/>
          <w:szCs w:val="19"/>
          <w:lang w:val="en-US" w:eastAsia="zh-CN"/>
        </w:rPr>
        <w:t>注：联系方式显示是否有手机、邮箱、固话，如有手机和邮箱，则显示形如：手机、邮箱</w:t>
      </w:r>
    </w:p>
    <w:p>
      <w:pPr>
        <w:rPr>
          <w:rFonts w:hint="eastAsia" w:ascii="微软雅黑" w:hAnsi="微软雅黑" w:eastAsia="微软雅黑" w:cs="微软雅黑"/>
          <w:i w:val="0"/>
          <w:caps w:val="0"/>
          <w:color w:val="323232"/>
          <w:spacing w:val="0"/>
          <w:sz w:val="19"/>
          <w:szCs w:val="19"/>
          <w:lang w:val="en-US" w:eastAsia="zh-CN"/>
        </w:rPr>
      </w:pPr>
      <w:r>
        <w:rPr>
          <w:rFonts w:hint="eastAsia" w:ascii="微软雅黑" w:hAnsi="微软雅黑" w:eastAsia="微软雅黑" w:cs="微软雅黑"/>
          <w:i w:val="0"/>
          <w:caps w:val="0"/>
          <w:color w:val="323232"/>
          <w:spacing w:val="0"/>
          <w:sz w:val="19"/>
          <w:szCs w:val="19"/>
          <w:lang w:val="en-US" w:eastAsia="zh-CN"/>
        </w:rPr>
        <w:t>手机、单位、邮箱、固话、备注是可叠加的字段，后面的数据比前面的数据新</w:t>
      </w:r>
    </w:p>
    <w:p>
      <w:pPr>
        <w:rPr>
          <w:rFonts w:hint="eastAsia" w:ascii="微软雅黑" w:hAnsi="微软雅黑" w:eastAsia="微软雅黑" w:cs="微软雅黑"/>
          <w:i w:val="0"/>
          <w:caps w:val="0"/>
          <w:color w:val="323232"/>
          <w:spacing w:val="0"/>
          <w:sz w:val="19"/>
          <w:szCs w:val="19"/>
          <w:lang w:val="en-US" w:eastAsia="zh-CN"/>
        </w:rPr>
      </w:pPr>
      <w:r>
        <w:rPr>
          <w:rFonts w:hint="eastAsia" w:ascii="微软雅黑" w:hAnsi="微软雅黑" w:eastAsia="微软雅黑" w:cs="微软雅黑"/>
          <w:i w:val="0"/>
          <w:caps w:val="0"/>
          <w:color w:val="323232"/>
          <w:spacing w:val="0"/>
          <w:sz w:val="19"/>
          <w:szCs w:val="19"/>
          <w:lang w:val="en-US" w:eastAsia="zh-CN"/>
        </w:rPr>
        <w:t>必填项三项：姓名、单位、手机/邮箱/固话（三选一）</w:t>
      </w:r>
    </w:p>
    <w:p>
      <w:pPr>
        <w:rPr>
          <w:rFonts w:hint="default" w:ascii="微软雅黑" w:hAnsi="微软雅黑" w:eastAsia="微软雅黑" w:cs="微软雅黑"/>
          <w:i w:val="0"/>
          <w:caps w:val="0"/>
          <w:color w:val="323232"/>
          <w:spacing w:val="0"/>
          <w:sz w:val="19"/>
          <w:szCs w:val="19"/>
          <w:lang w:val="en-US" w:eastAsia="zh-CN"/>
        </w:rPr>
      </w:pPr>
      <w:r>
        <w:rPr>
          <w:rFonts w:hint="eastAsia" w:ascii="微软雅黑" w:hAnsi="微软雅黑" w:eastAsia="微软雅黑" w:cs="微软雅黑"/>
          <w:i w:val="0"/>
          <w:caps w:val="0"/>
          <w:color w:val="323232"/>
          <w:spacing w:val="0"/>
          <w:sz w:val="19"/>
          <w:szCs w:val="19"/>
          <w:lang w:val="en-US" w:eastAsia="zh-CN"/>
        </w:rPr>
        <w:t>标签的修改权限：标签的删除仅限其添加人，各负责人可随意修改</w:t>
      </w:r>
    </w:p>
    <w:p>
      <w:pPr>
        <w:rPr>
          <w:rFonts w:hint="eastAsia" w:ascii="微软雅黑" w:hAnsi="微软雅黑" w:eastAsia="微软雅黑" w:cs="微软雅黑"/>
          <w:i w:val="0"/>
          <w:caps w:val="0"/>
          <w:color w:val="323232"/>
          <w:spacing w:val="0"/>
          <w:sz w:val="19"/>
          <w:szCs w:val="19"/>
          <w:lang w:val="en-US" w:eastAsia="zh-CN"/>
        </w:rPr>
      </w:pPr>
      <w:r>
        <w:rPr>
          <w:rFonts w:hint="eastAsia" w:ascii="微软雅黑" w:hAnsi="微软雅黑" w:eastAsia="微软雅黑" w:cs="微软雅黑"/>
          <w:i w:val="0"/>
          <w:caps w:val="0"/>
          <w:color w:val="323232"/>
          <w:spacing w:val="0"/>
          <w:sz w:val="19"/>
          <w:szCs w:val="19"/>
          <w:lang w:val="en-US" w:eastAsia="zh-CN"/>
        </w:rPr>
        <w:t>数据的修改权限：各负责人可随意修改</w:t>
      </w:r>
    </w:p>
    <w:p>
      <w:pPr>
        <w:rPr>
          <w:rFonts w:hint="default" w:ascii="微软雅黑" w:hAnsi="微软雅黑" w:eastAsia="微软雅黑" w:cs="微软雅黑"/>
          <w:i w:val="0"/>
          <w:caps w:val="0"/>
          <w:color w:val="FF0000"/>
          <w:spacing w:val="0"/>
          <w:sz w:val="19"/>
          <w:szCs w:val="19"/>
          <w:lang w:val="en-US" w:eastAsia="zh-CN"/>
        </w:rPr>
      </w:pPr>
      <w:r>
        <w:rPr>
          <w:rFonts w:hint="eastAsia" w:ascii="微软雅黑" w:hAnsi="微软雅黑" w:eastAsia="微软雅黑" w:cs="微软雅黑"/>
          <w:i w:val="0"/>
          <w:caps w:val="0"/>
          <w:color w:val="FF0000"/>
          <w:spacing w:val="0"/>
          <w:sz w:val="19"/>
          <w:szCs w:val="19"/>
          <w:lang w:val="en-US" w:eastAsia="zh-CN"/>
        </w:rPr>
        <w:t>观众系统的标签（如专业观众、VIP观众、嘉宾、论坛听众）都归属于市场部，由市场部进行修改或删除；其他三大平台（易光电、光电汇、光博会展商系统）的标签不归属于任何人，任何人不可修改或删除</w:t>
      </w:r>
    </w:p>
    <w:p>
      <w:pPr>
        <w:rPr>
          <w:rFonts w:hint="eastAsia" w:ascii="微软雅黑" w:hAnsi="微软雅黑" w:eastAsia="微软雅黑" w:cs="微软雅黑"/>
          <w:i w:val="0"/>
          <w:caps w:val="0"/>
          <w:color w:val="323232"/>
          <w:spacing w:val="0"/>
          <w:sz w:val="19"/>
          <w:szCs w:val="19"/>
        </w:rPr>
      </w:pPr>
      <w:r>
        <w:rPr>
          <w:rFonts w:ascii="微软雅黑" w:hAnsi="微软雅黑" w:eastAsia="微软雅黑" w:cs="微软雅黑"/>
          <w:i w:val="0"/>
          <w:caps w:val="0"/>
          <w:color w:val="323232"/>
          <w:spacing w:val="0"/>
          <w:sz w:val="19"/>
          <w:szCs w:val="19"/>
        </w:rPr>
        <w:t>性别选项：先生/女士</w:t>
      </w:r>
      <w:r>
        <w:rPr>
          <w:rFonts w:hint="eastAsia" w:ascii="微软雅黑" w:hAnsi="微软雅黑" w:eastAsia="微软雅黑" w:cs="微软雅黑"/>
          <w:i w:val="0"/>
          <w:caps w:val="0"/>
          <w:color w:val="323232"/>
          <w:spacing w:val="0"/>
          <w:sz w:val="19"/>
          <w:szCs w:val="19"/>
        </w:rPr>
        <w:br w:type="textWrapping"/>
      </w:r>
      <w:r>
        <w:rPr>
          <w:rFonts w:hint="eastAsia" w:ascii="微软雅黑" w:hAnsi="微软雅黑" w:eastAsia="微软雅黑" w:cs="微软雅黑"/>
          <w:i w:val="0"/>
          <w:caps w:val="0"/>
          <w:color w:val="323232"/>
          <w:spacing w:val="0"/>
          <w:sz w:val="19"/>
          <w:szCs w:val="19"/>
        </w:rPr>
        <w:t>1、“男/女”的要自动处理成“先生/女士”</w:t>
      </w:r>
      <w:r>
        <w:rPr>
          <w:rFonts w:hint="eastAsia" w:ascii="微软雅黑" w:hAnsi="微软雅黑" w:eastAsia="微软雅黑" w:cs="微软雅黑"/>
          <w:i w:val="0"/>
          <w:caps w:val="0"/>
          <w:color w:val="323232"/>
          <w:spacing w:val="0"/>
          <w:sz w:val="19"/>
          <w:szCs w:val="19"/>
        </w:rPr>
        <w:br w:type="textWrapping"/>
      </w:r>
      <w:r>
        <w:rPr>
          <w:rFonts w:hint="eastAsia" w:ascii="微软雅黑" w:hAnsi="微软雅黑" w:eastAsia="微软雅黑" w:cs="微软雅黑"/>
          <w:i w:val="0"/>
          <w:caps w:val="0"/>
          <w:color w:val="323232"/>
          <w:spacing w:val="0"/>
          <w:sz w:val="19"/>
          <w:szCs w:val="19"/>
        </w:rPr>
        <w:t>2、“未知”或其他内容直接忽略</w:t>
      </w:r>
      <w:r>
        <w:rPr>
          <w:rFonts w:hint="eastAsia" w:ascii="微软雅黑" w:hAnsi="微软雅黑" w:eastAsia="微软雅黑" w:cs="微软雅黑"/>
          <w:i w:val="0"/>
          <w:caps w:val="0"/>
          <w:color w:val="323232"/>
          <w:spacing w:val="0"/>
          <w:sz w:val="19"/>
          <w:szCs w:val="19"/>
        </w:rPr>
        <w:br w:type="textWrapping"/>
      </w:r>
      <w:r>
        <w:rPr>
          <w:rFonts w:hint="eastAsia" w:ascii="微软雅黑" w:hAnsi="微软雅黑" w:eastAsia="微软雅黑" w:cs="微软雅黑"/>
          <w:i w:val="0"/>
          <w:caps w:val="0"/>
          <w:color w:val="323232"/>
          <w:spacing w:val="0"/>
          <w:sz w:val="19"/>
          <w:szCs w:val="19"/>
          <w:lang w:val="en-US" w:eastAsia="zh-CN"/>
        </w:rPr>
        <w:t>国家/</w:t>
      </w:r>
      <w:r>
        <w:rPr>
          <w:rFonts w:hint="eastAsia" w:ascii="微软雅黑" w:hAnsi="微软雅黑" w:eastAsia="微软雅黑" w:cs="微软雅黑"/>
          <w:i w:val="0"/>
          <w:caps w:val="0"/>
          <w:color w:val="323232"/>
          <w:spacing w:val="0"/>
          <w:sz w:val="19"/>
          <w:szCs w:val="19"/>
        </w:rPr>
        <w:t>省/市/区选项：数据来源观众系统</w:t>
      </w:r>
      <w:r>
        <w:rPr>
          <w:rFonts w:hint="eastAsia" w:ascii="微软雅黑" w:hAnsi="微软雅黑" w:eastAsia="微软雅黑" w:cs="微软雅黑"/>
          <w:i w:val="0"/>
          <w:caps w:val="0"/>
          <w:color w:val="323232"/>
          <w:spacing w:val="0"/>
          <w:sz w:val="19"/>
          <w:szCs w:val="19"/>
        </w:rPr>
        <w:br w:type="textWrapping"/>
      </w:r>
      <w:r>
        <w:rPr>
          <w:rFonts w:hint="eastAsia" w:ascii="微软雅黑" w:hAnsi="微软雅黑" w:eastAsia="微软雅黑" w:cs="微软雅黑"/>
          <w:i w:val="0"/>
          <w:caps w:val="0"/>
          <w:color w:val="323232"/>
          <w:spacing w:val="0"/>
          <w:sz w:val="19"/>
          <w:szCs w:val="19"/>
        </w:rPr>
        <w:t>1、同步时匹配不上则直接忽略</w:t>
      </w:r>
      <w:r>
        <w:rPr>
          <w:rFonts w:hint="eastAsia" w:ascii="微软雅黑" w:hAnsi="微软雅黑" w:eastAsia="微软雅黑" w:cs="微软雅黑"/>
          <w:i w:val="0"/>
          <w:caps w:val="0"/>
          <w:color w:val="323232"/>
          <w:spacing w:val="0"/>
          <w:sz w:val="19"/>
          <w:szCs w:val="19"/>
        </w:rPr>
        <w:br w:type="textWrapping"/>
      </w:r>
      <w:r>
        <w:rPr>
          <w:rFonts w:hint="eastAsia" w:ascii="微软雅黑" w:hAnsi="微软雅黑" w:eastAsia="微软雅黑" w:cs="微软雅黑"/>
          <w:i w:val="0"/>
          <w:caps w:val="0"/>
          <w:color w:val="323232"/>
          <w:spacing w:val="0"/>
          <w:sz w:val="19"/>
          <w:szCs w:val="19"/>
        </w:rPr>
        <w:t>2、导入时匹配不上则进行错误提示，修改后再导入</w:t>
      </w:r>
    </w:p>
    <w:p>
      <w:pPr>
        <w:pStyle w:val="3"/>
        <w:bidi w:val="0"/>
        <w:rPr>
          <w:rFonts w:hint="eastAsia"/>
          <w:lang w:val="en-US" w:eastAsia="zh-CN"/>
        </w:rPr>
      </w:pPr>
      <w:r>
        <w:rPr>
          <w:rFonts w:hint="eastAsia"/>
          <w:lang w:val="en-US" w:eastAsia="zh-CN"/>
        </w:rPr>
        <w:t>标签</w:t>
      </w:r>
    </w:p>
    <w:p>
      <w:pPr>
        <w:rPr>
          <w:rFonts w:hint="eastAsia"/>
          <w:lang w:val="en-US" w:eastAsia="zh-CN"/>
        </w:rPr>
      </w:pPr>
      <w:r>
        <w:rPr>
          <w:rFonts w:hint="eastAsia"/>
          <w:lang w:val="en-US" w:eastAsia="zh-CN"/>
        </w:rPr>
        <w:t>标签字段：所属业务、标签名称、标签描述、归属人、添加时间、操作（修改、删除）</w:t>
      </w:r>
    </w:p>
    <w:p>
      <w:pPr>
        <w:rPr>
          <w:rFonts w:hint="eastAsia"/>
          <w:lang w:val="en-US" w:eastAsia="zh-CN"/>
        </w:rPr>
      </w:pPr>
    </w:p>
    <w:p>
      <w:pPr>
        <w:rPr>
          <w:rFonts w:hint="eastAsia"/>
          <w:lang w:val="en-US" w:eastAsia="zh-CN"/>
        </w:rPr>
      </w:pPr>
      <w:r>
        <w:rPr>
          <w:rFonts w:hint="eastAsia"/>
          <w:lang w:val="en-US" w:eastAsia="zh-CN"/>
        </w:rPr>
        <w:t>标签属性的修改权限：仅归属人可修改、删除</w:t>
      </w:r>
    </w:p>
    <w:p>
      <w:pPr>
        <w:rPr>
          <w:rFonts w:hint="eastAsia"/>
          <w:lang w:val="en-US" w:eastAsia="zh-CN"/>
        </w:rPr>
      </w:pPr>
      <w:r>
        <w:rPr>
          <w:rFonts w:hint="eastAsia"/>
          <w:lang w:val="en-US" w:eastAsia="zh-CN"/>
        </w:rPr>
        <w:t>修改后，其对应数据的标签名称也随之修改，查询时的标签名称也随之修改</w:t>
      </w:r>
    </w:p>
    <w:p>
      <w:pPr>
        <w:rPr>
          <w:rFonts w:hint="eastAsia"/>
          <w:lang w:val="en-US" w:eastAsia="zh-CN"/>
        </w:rPr>
      </w:pPr>
      <w:r>
        <w:rPr>
          <w:rFonts w:hint="eastAsia"/>
          <w:lang w:val="en-US" w:eastAsia="zh-CN"/>
        </w:rPr>
        <w:t>删除后，其对应数据的标签名称也随之删除，查询时的标签名称也随之删除</w:t>
      </w:r>
    </w:p>
    <w:p>
      <w:pPr>
        <w:rPr>
          <w:rFonts w:hint="eastAsia"/>
          <w:lang w:val="en-US" w:eastAsia="zh-CN"/>
        </w:rPr>
      </w:pPr>
    </w:p>
    <w:p>
      <w:pPr>
        <w:rPr>
          <w:rFonts w:hint="default"/>
          <w:lang w:val="en-US" w:eastAsia="zh-CN"/>
        </w:rPr>
      </w:pPr>
      <w:r>
        <w:rPr>
          <w:rFonts w:hint="eastAsia"/>
          <w:lang w:val="en-US" w:eastAsia="zh-CN"/>
        </w:rPr>
        <w:t>标签名称在所属业务范围内不可重复</w:t>
      </w:r>
    </w:p>
    <w:p>
      <w:pPr>
        <w:rPr>
          <w:rFonts w:hint="eastAsia"/>
          <w:lang w:val="en-US" w:eastAsia="zh-CN"/>
        </w:rPr>
      </w:pPr>
    </w:p>
    <w:p>
      <w:pPr>
        <w:rPr>
          <w:rFonts w:hint="eastAsia"/>
          <w:lang w:val="en-US" w:eastAsia="zh-CN"/>
        </w:rPr>
      </w:pPr>
      <w:r>
        <w:rPr>
          <w:rFonts w:hint="eastAsia"/>
          <w:lang w:val="en-US" w:eastAsia="zh-CN"/>
        </w:rPr>
        <w:t>所属业务选项：市场部、会议部、招商部、媒体部、运营部、自营部</w:t>
      </w:r>
    </w:p>
    <w:p>
      <w:pPr>
        <w:rPr>
          <w:rFonts w:hint="eastAsia"/>
          <w:lang w:val="en-US" w:eastAsia="zh-CN"/>
        </w:rPr>
      </w:pPr>
    </w:p>
    <w:p>
      <w:pPr>
        <w:rPr>
          <w:rFonts w:hint="eastAsia"/>
          <w:lang w:val="en-US" w:eastAsia="zh-CN"/>
        </w:rPr>
      </w:pPr>
      <w:r>
        <w:rPr>
          <w:rFonts w:hint="eastAsia"/>
          <w:lang w:val="en-US" w:eastAsia="zh-CN"/>
        </w:rPr>
        <w:t>添加标签时，增加推荐标签的文案提示，文案如下：</w:t>
      </w:r>
    </w:p>
    <w:p>
      <w:pPr>
        <w:jc w:val="center"/>
        <w:rPr>
          <w:rFonts w:hint="eastAsia"/>
          <w:lang w:val="en-US" w:eastAsia="zh-CN"/>
        </w:rPr>
      </w:pPr>
      <w:r>
        <w:rPr>
          <w:rFonts w:hint="eastAsia"/>
          <w:lang w:val="en-US" w:eastAsia="zh-CN"/>
        </w:rPr>
        <w:t>推荐标签</w:t>
      </w:r>
    </w:p>
    <w:tbl>
      <w:tblPr>
        <w:tblStyle w:val="4"/>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870"/>
        <w:gridCol w:w="1713"/>
        <w:gridCol w:w="1437"/>
        <w:gridCol w:w="1437"/>
        <w:gridCol w:w="1438"/>
        <w:gridCol w:w="14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72" w:hRule="atLeast"/>
          <w:jc w:val="center"/>
        </w:trPr>
        <w:tc>
          <w:tcPr>
            <w:tcW w:w="522" w:type="pct"/>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买家</w:t>
            </w:r>
          </w:p>
        </w:tc>
        <w:tc>
          <w:tcPr>
            <w:tcW w:w="1027" w:type="pct"/>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科研专家</w:t>
            </w:r>
          </w:p>
        </w:tc>
        <w:tc>
          <w:tcPr>
            <w:tcW w:w="862" w:type="pct"/>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往届参展商</w:t>
            </w:r>
          </w:p>
        </w:tc>
        <w:tc>
          <w:tcPr>
            <w:tcW w:w="862" w:type="pct"/>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专业观众</w:t>
            </w:r>
          </w:p>
        </w:tc>
        <w:tc>
          <w:tcPr>
            <w:tcW w:w="862" w:type="pct"/>
            <w:tcBorders>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作者</w:t>
            </w:r>
          </w:p>
        </w:tc>
        <w:tc>
          <w:tcPr>
            <w:tcW w:w="862" w:type="pct"/>
            <w:tcBorders>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72" w:hRule="atLeast"/>
          <w:jc w:val="center"/>
        </w:trPr>
        <w:tc>
          <w:tcPr>
            <w:tcW w:w="522"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卖家</w:t>
            </w:r>
          </w:p>
        </w:tc>
        <w:tc>
          <w:tcPr>
            <w:tcW w:w="1027"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演讲嘉宾</w:t>
            </w: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参展商</w:t>
            </w: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VIP观众</w:t>
            </w: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兼职编辑</w:t>
            </w: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72" w:hRule="atLeast"/>
          <w:jc w:val="center"/>
        </w:trPr>
        <w:tc>
          <w:tcPr>
            <w:tcW w:w="522"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7"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科研人员</w:t>
            </w: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赞助商</w:t>
            </w: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嘉宾</w:t>
            </w: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资本</w:t>
            </w: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72" w:hRule="atLeast"/>
          <w:jc w:val="center"/>
        </w:trPr>
        <w:tc>
          <w:tcPr>
            <w:tcW w:w="522"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7"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外籍嘉宾</w:t>
            </w: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合作伙伴</w:t>
            </w: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论坛听众</w:t>
            </w: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编委</w:t>
            </w: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2" w:hRule="atLeast"/>
          <w:jc w:val="center"/>
        </w:trPr>
        <w:tc>
          <w:tcPr>
            <w:tcW w:w="522"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7"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62"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产业</w:t>
            </w:r>
          </w:p>
        </w:tc>
        <w:tc>
          <w:tcPr>
            <w:tcW w:w="862" w:type="pct"/>
            <w:tcBorders>
              <w:top w:val="single" w:color="000000" w:sz="4" w:space="0"/>
              <w:left w:val="single" w:color="000000" w:sz="8"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pPr>
        <w:rPr>
          <w:rFonts w:hint="default"/>
          <w:lang w:val="en-US" w:eastAsia="zh-CN"/>
        </w:rPr>
      </w:pPr>
    </w:p>
    <w:p>
      <w:pPr>
        <w:rPr>
          <w:rFonts w:hint="eastAsia"/>
          <w:color w:val="FF0000"/>
          <w:lang w:val="en-US" w:eastAsia="zh-CN"/>
        </w:rPr>
      </w:pPr>
      <w:bookmarkStart w:id="0" w:name="_GoBack"/>
      <w:r>
        <w:rPr>
          <w:rFonts w:hint="eastAsia"/>
          <w:color w:val="FF0000"/>
          <w:lang w:val="en-US" w:eastAsia="zh-CN"/>
        </w:rPr>
        <w:t>易光电：买家、科研专家=》自营部</w:t>
      </w:r>
    </w:p>
    <w:p>
      <w:pPr>
        <w:rPr>
          <w:rFonts w:hint="eastAsia"/>
          <w:color w:val="FF0000"/>
          <w:lang w:val="en-US" w:eastAsia="zh-CN"/>
        </w:rPr>
      </w:pPr>
      <w:r>
        <w:rPr>
          <w:rFonts w:hint="eastAsia"/>
          <w:color w:val="FF0000"/>
          <w:lang w:val="en-US" w:eastAsia="zh-CN"/>
        </w:rPr>
        <w:t>光电汇：买家、卖家=》运营部</w:t>
      </w:r>
    </w:p>
    <w:p>
      <w:pPr>
        <w:rPr>
          <w:rFonts w:hint="eastAsia"/>
          <w:color w:val="FF0000"/>
          <w:lang w:val="en-US" w:eastAsia="zh-CN"/>
        </w:rPr>
      </w:pPr>
      <w:r>
        <w:rPr>
          <w:rFonts w:hint="eastAsia"/>
          <w:color w:val="FF0000"/>
          <w:lang w:val="en-US" w:eastAsia="zh-CN"/>
        </w:rPr>
        <w:t>展商系统：往届参展商、参展商=》招商部</w:t>
      </w:r>
    </w:p>
    <w:p>
      <w:pPr>
        <w:rPr>
          <w:rFonts w:hint="default"/>
          <w:color w:val="FF0000"/>
          <w:lang w:val="en-US" w:eastAsia="zh-CN"/>
        </w:rPr>
      </w:pPr>
      <w:r>
        <w:rPr>
          <w:rFonts w:hint="eastAsia"/>
          <w:color w:val="FF0000"/>
          <w:lang w:val="en-US" w:eastAsia="zh-CN"/>
        </w:rPr>
        <w:t>光博会观众系统：专业观众、VIP观众、嘉宾=》市场部；</w:t>
      </w:r>
      <w:r>
        <w:rPr>
          <w:rFonts w:hint="eastAsia"/>
          <w:color w:val="FF0000"/>
          <w:lang w:val="en-US" w:eastAsia="zh-CN"/>
        </w:rPr>
        <w:tab/>
        <w:t>论坛听众=》会议部</w:t>
      </w:r>
    </w:p>
    <w:bookmarkEnd w:id="0"/>
    <w:p>
      <w:pPr>
        <w:pStyle w:val="2"/>
        <w:bidi w:val="0"/>
        <w:rPr>
          <w:rFonts w:hint="eastAsia"/>
          <w:lang w:val="en-US" w:eastAsia="zh-CN"/>
        </w:rPr>
      </w:pPr>
      <w:r>
        <w:rPr>
          <w:rFonts w:hint="eastAsia"/>
          <w:lang w:val="en-US" w:eastAsia="zh-CN"/>
        </w:rPr>
        <w:t>原则</w:t>
      </w:r>
    </w:p>
    <w:p>
      <w:pPr>
        <w:pStyle w:val="3"/>
        <w:bidi w:val="0"/>
        <w:rPr>
          <w:rFonts w:hint="default"/>
          <w:lang w:val="en-US" w:eastAsia="zh-CN"/>
        </w:rPr>
      </w:pPr>
      <w:r>
        <w:rPr>
          <w:rFonts w:hint="eastAsia"/>
          <w:lang w:val="en-US" w:eastAsia="zh-CN"/>
        </w:rPr>
        <w:t>原则一</w:t>
      </w:r>
    </w:p>
    <w:p>
      <w:pPr>
        <w:rPr>
          <w:rFonts w:hint="eastAsia"/>
          <w:lang w:val="en-US" w:eastAsia="zh-CN"/>
        </w:rPr>
      </w:pPr>
      <w:r>
        <w:rPr>
          <w:rFonts w:hint="eastAsia"/>
          <w:lang w:val="en-US" w:eastAsia="zh-CN"/>
        </w:rPr>
        <w:t>一个用户仅一条数据，多个标签</w:t>
      </w:r>
    </w:p>
    <w:p>
      <w:pPr>
        <w:rPr>
          <w:rFonts w:hint="eastAsia"/>
          <w:lang w:val="en-US" w:eastAsia="zh-CN"/>
        </w:rPr>
      </w:pPr>
      <w:r>
        <w:rPr>
          <w:rFonts w:hint="eastAsia"/>
          <w:lang w:val="en-US" w:eastAsia="zh-CN"/>
        </w:rPr>
        <w:t>同一用户的判别标准：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356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pPr>
              <w:jc w:val="center"/>
              <w:rPr>
                <w:rFonts w:hint="default"/>
                <w:color w:val="FF0000"/>
                <w:vertAlign w:val="baseline"/>
                <w:lang w:val="en-US" w:eastAsia="zh-CN"/>
              </w:rPr>
            </w:pPr>
            <w:r>
              <w:rPr>
                <w:rFonts w:hint="eastAsia"/>
                <w:color w:val="FF0000"/>
                <w:vertAlign w:val="baseline"/>
                <w:lang w:val="en-US" w:eastAsia="zh-CN"/>
              </w:rPr>
              <w:t>手机一致</w:t>
            </w:r>
          </w:p>
        </w:tc>
        <w:tc>
          <w:tcPr>
            <w:tcW w:w="3569" w:type="dxa"/>
            <w:vAlign w:val="center"/>
          </w:tcPr>
          <w:p>
            <w:pPr>
              <w:jc w:val="center"/>
              <w:rPr>
                <w:rFonts w:hint="default"/>
                <w:color w:val="FF0000"/>
                <w:vertAlign w:val="baseline"/>
                <w:lang w:val="en-US" w:eastAsia="zh-CN"/>
              </w:rPr>
            </w:pPr>
            <w:r>
              <w:rPr>
                <w:rFonts w:hint="eastAsia"/>
                <w:color w:val="FF0000"/>
                <w:vertAlign w:val="baseline"/>
                <w:lang w:val="en-US" w:eastAsia="zh-CN"/>
              </w:rPr>
              <w:t>姓名一致+单位符合“包含”原则</w:t>
            </w:r>
          </w:p>
        </w:tc>
        <w:tc>
          <w:tcPr>
            <w:tcW w:w="284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Align w:val="center"/>
          </w:tcPr>
          <w:p>
            <w:pPr>
              <w:jc w:val="center"/>
              <w:rPr>
                <w:rFonts w:hint="default"/>
                <w:vertAlign w:val="baseline"/>
                <w:lang w:val="en-US" w:eastAsia="zh-CN"/>
              </w:rPr>
            </w:pPr>
            <w:r>
              <w:rPr>
                <w:rFonts w:hint="eastAsia"/>
                <w:vertAlign w:val="baseline"/>
                <w:lang w:val="en-US" w:eastAsia="zh-CN"/>
              </w:rPr>
              <w:t>是</w:t>
            </w:r>
          </w:p>
        </w:tc>
        <w:tc>
          <w:tcPr>
            <w:tcW w:w="3569"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不用判别</w:t>
            </w:r>
          </w:p>
        </w:tc>
        <w:tc>
          <w:tcPr>
            <w:tcW w:w="2841"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同一用户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restart"/>
            <w:vAlign w:val="center"/>
          </w:tcPr>
          <w:p>
            <w:pPr>
              <w:jc w:val="center"/>
              <w:rPr>
                <w:rFonts w:hint="default"/>
                <w:vertAlign w:val="baseline"/>
                <w:lang w:val="en-US" w:eastAsia="zh-CN"/>
              </w:rPr>
            </w:pPr>
            <w:r>
              <w:rPr>
                <w:rFonts w:hint="eastAsia"/>
                <w:vertAlign w:val="baseline"/>
                <w:lang w:val="en-US" w:eastAsia="zh-CN"/>
              </w:rPr>
              <w:t>否</w:t>
            </w:r>
          </w:p>
        </w:tc>
        <w:tc>
          <w:tcPr>
            <w:tcW w:w="3569" w:type="dxa"/>
            <w:vAlign w:val="center"/>
          </w:tcPr>
          <w:p>
            <w:pPr>
              <w:jc w:val="center"/>
              <w:rPr>
                <w:rFonts w:hint="default"/>
                <w:vertAlign w:val="baseline"/>
                <w:lang w:val="en-US" w:eastAsia="zh-CN"/>
              </w:rPr>
            </w:pPr>
            <w:r>
              <w:rPr>
                <w:rFonts w:hint="eastAsia"/>
                <w:vertAlign w:val="baseline"/>
                <w:lang w:val="en-US" w:eastAsia="zh-CN"/>
              </w:rPr>
              <w:t>是</w:t>
            </w:r>
          </w:p>
        </w:tc>
        <w:tc>
          <w:tcPr>
            <w:tcW w:w="2841" w:type="dxa"/>
            <w:vAlign w:val="center"/>
          </w:tcPr>
          <w:p>
            <w:pPr>
              <w:jc w:val="center"/>
              <w:rPr>
                <w:rFonts w:hint="default"/>
                <w:vertAlign w:val="baseline"/>
                <w:lang w:val="en-US" w:eastAsia="zh-CN"/>
              </w:rPr>
            </w:pPr>
            <w:r>
              <w:rPr>
                <w:rFonts w:hint="eastAsia"/>
                <w:vertAlign w:val="baseline"/>
                <w:lang w:val="en-US" w:eastAsia="zh-CN"/>
              </w:rPr>
              <w:t>同一用户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vAlign w:val="center"/>
          </w:tcPr>
          <w:p>
            <w:pPr>
              <w:jc w:val="center"/>
              <w:rPr>
                <w:rFonts w:hint="default"/>
                <w:vertAlign w:val="baseline"/>
                <w:lang w:val="en-US" w:eastAsia="zh-CN"/>
              </w:rPr>
            </w:pPr>
          </w:p>
        </w:tc>
        <w:tc>
          <w:tcPr>
            <w:tcW w:w="3569" w:type="dxa"/>
            <w:vAlign w:val="center"/>
          </w:tcPr>
          <w:p>
            <w:pPr>
              <w:jc w:val="center"/>
              <w:rPr>
                <w:rFonts w:hint="default"/>
                <w:vertAlign w:val="baseline"/>
                <w:lang w:val="en-US" w:eastAsia="zh-CN"/>
              </w:rPr>
            </w:pPr>
            <w:r>
              <w:rPr>
                <w:rFonts w:hint="eastAsia"/>
                <w:vertAlign w:val="baseline"/>
                <w:lang w:val="en-US" w:eastAsia="zh-CN"/>
              </w:rPr>
              <w:t>否</w:t>
            </w:r>
          </w:p>
        </w:tc>
        <w:tc>
          <w:tcPr>
            <w:tcW w:w="2841" w:type="dxa"/>
            <w:vAlign w:val="center"/>
          </w:tcPr>
          <w:p>
            <w:pPr>
              <w:jc w:val="center"/>
              <w:rPr>
                <w:rFonts w:hint="default"/>
                <w:vertAlign w:val="baseline"/>
                <w:lang w:val="en-US" w:eastAsia="zh-CN"/>
              </w:rPr>
            </w:pPr>
            <w:r>
              <w:rPr>
                <w:rFonts w:hint="eastAsia"/>
                <w:vertAlign w:val="baseline"/>
                <w:lang w:val="en-US" w:eastAsia="zh-CN"/>
              </w:rPr>
              <w:t>两个用户</w:t>
            </w:r>
          </w:p>
        </w:tc>
      </w:tr>
    </w:tbl>
    <w:p>
      <w:pPr>
        <w:rPr>
          <w:rFonts w:hint="default"/>
          <w:color w:val="FF0000"/>
          <w:lang w:val="en-US" w:eastAsia="zh-CN"/>
        </w:rPr>
      </w:pPr>
      <w:r>
        <w:rPr>
          <w:rFonts w:hint="eastAsia"/>
          <w:color w:val="FF0000"/>
          <w:lang w:val="en-US" w:eastAsia="zh-CN"/>
        </w:rPr>
        <w:t>注：</w:t>
      </w:r>
    </w:p>
    <w:p>
      <w:pPr>
        <w:rPr>
          <w:rFonts w:hint="eastAsia"/>
          <w:lang w:val="en-US" w:eastAsia="zh-CN"/>
        </w:rPr>
      </w:pPr>
      <w:r>
        <w:rPr>
          <w:rFonts w:hint="eastAsia"/>
          <w:lang w:val="en-US" w:eastAsia="zh-CN"/>
        </w:rPr>
        <w:t>1、单位“包含”原则：</w:t>
      </w:r>
    </w:p>
    <w:p>
      <w:pPr>
        <w:rPr>
          <w:rFonts w:hint="eastAsia"/>
          <w:lang w:val="en-US" w:eastAsia="zh-CN"/>
        </w:rPr>
      </w:pPr>
      <w:r>
        <w:rPr>
          <w:rFonts w:hint="eastAsia"/>
          <w:lang w:val="en-US" w:eastAsia="zh-CN"/>
        </w:rPr>
        <w:t>“上海意桐”和“上海意桐光电”属于包含关系，且顺序一致，即代表单位一致</w:t>
      </w:r>
    </w:p>
    <w:p>
      <w:pPr>
        <w:numPr>
          <w:ilvl w:val="0"/>
          <w:numId w:val="1"/>
        </w:numPr>
        <w:rPr>
          <w:rFonts w:hint="eastAsia"/>
          <w:lang w:val="en-US" w:eastAsia="zh-CN"/>
        </w:rPr>
      </w:pPr>
      <w:r>
        <w:rPr>
          <w:rFonts w:hint="eastAsia"/>
          <w:lang w:val="en-US" w:eastAsia="zh-CN"/>
        </w:rPr>
        <w:t>多个手机、多个单位的情况下，对每个手机或单位进行判别，有一个符合即算符合，以下均属于一致的情况：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numPr>
                <w:ilvl w:val="0"/>
                <w:numId w:val="0"/>
              </w:numPr>
              <w:jc w:val="center"/>
              <w:rPr>
                <w:rFonts w:hint="default"/>
                <w:vertAlign w:val="baseline"/>
                <w:lang w:val="en-US" w:eastAsia="zh-CN"/>
              </w:rPr>
            </w:pPr>
            <w:r>
              <w:rPr>
                <w:rFonts w:hint="eastAsia"/>
                <w:vertAlign w:val="baseline"/>
                <w:lang w:val="en-US" w:eastAsia="zh-CN"/>
              </w:rPr>
              <w:t>库内某一用户的某一字段</w:t>
            </w:r>
          </w:p>
        </w:tc>
        <w:tc>
          <w:tcPr>
            <w:tcW w:w="4261" w:type="dxa"/>
            <w:vAlign w:val="center"/>
          </w:tcPr>
          <w:p>
            <w:pPr>
              <w:numPr>
                <w:ilvl w:val="0"/>
                <w:numId w:val="0"/>
              </w:numPr>
              <w:jc w:val="center"/>
              <w:rPr>
                <w:rFonts w:hint="eastAsia"/>
                <w:vertAlign w:val="baseline"/>
                <w:lang w:val="en-US" w:eastAsia="zh-CN"/>
              </w:rPr>
            </w:pPr>
            <w:r>
              <w:rPr>
                <w:rFonts w:hint="eastAsia"/>
                <w:vertAlign w:val="baseline"/>
                <w:lang w:val="en-US" w:eastAsia="zh-CN"/>
              </w:rPr>
              <w:t>库外某一用户的某一字段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numPr>
                <w:ilvl w:val="0"/>
                <w:numId w:val="0"/>
              </w:numPr>
              <w:jc w:val="center"/>
              <w:rPr>
                <w:rFonts w:hint="default"/>
                <w:vertAlign w:val="baseline"/>
                <w:lang w:val="en-US" w:eastAsia="zh-CN"/>
              </w:rPr>
            </w:pPr>
            <w:r>
              <w:rPr>
                <w:rFonts w:hint="eastAsia"/>
                <w:vertAlign w:val="baseline"/>
                <w:lang w:val="en-US" w:eastAsia="zh-CN"/>
              </w:rPr>
              <w:t>A</w:t>
            </w:r>
          </w:p>
        </w:tc>
        <w:tc>
          <w:tcPr>
            <w:tcW w:w="4261" w:type="dxa"/>
            <w:vAlign w:val="center"/>
          </w:tcPr>
          <w:p>
            <w:pPr>
              <w:numPr>
                <w:ilvl w:val="0"/>
                <w:numId w:val="0"/>
              </w:numPr>
              <w:jc w:val="center"/>
              <w:rPr>
                <w:rFonts w:hint="default"/>
                <w:vertAlign w:val="baseline"/>
                <w:lang w:val="en-US" w:eastAsia="zh-CN"/>
              </w:rPr>
            </w:pPr>
            <w:r>
              <w:rPr>
                <w:rFonts w:hint="eastAsia"/>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numPr>
                <w:ilvl w:val="0"/>
                <w:numId w:val="0"/>
              </w:numPr>
              <w:jc w:val="center"/>
              <w:rPr>
                <w:rFonts w:hint="default"/>
                <w:vertAlign w:val="baseline"/>
                <w:lang w:val="en-US" w:eastAsia="zh-CN"/>
              </w:rPr>
            </w:pPr>
            <w:r>
              <w:rPr>
                <w:rFonts w:hint="eastAsia"/>
                <w:vertAlign w:val="baseline"/>
                <w:lang w:val="en-US" w:eastAsia="zh-CN"/>
              </w:rPr>
              <w:t>AB</w:t>
            </w:r>
          </w:p>
        </w:tc>
        <w:tc>
          <w:tcPr>
            <w:tcW w:w="4261" w:type="dxa"/>
            <w:vAlign w:val="center"/>
          </w:tcPr>
          <w:p>
            <w:pPr>
              <w:numPr>
                <w:ilvl w:val="0"/>
                <w:numId w:val="0"/>
              </w:numPr>
              <w:jc w:val="center"/>
              <w:rPr>
                <w:rFonts w:hint="default"/>
                <w:vertAlign w:val="baseline"/>
                <w:lang w:val="en-US" w:eastAsia="zh-CN"/>
              </w:rPr>
            </w:pPr>
            <w:r>
              <w:rPr>
                <w:rFonts w:hint="eastAsia"/>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numPr>
                <w:ilvl w:val="0"/>
                <w:numId w:val="0"/>
              </w:numPr>
              <w:jc w:val="center"/>
              <w:rPr>
                <w:rFonts w:hint="default"/>
                <w:vertAlign w:val="baseline"/>
                <w:lang w:val="en-US" w:eastAsia="zh-CN"/>
              </w:rPr>
            </w:pPr>
            <w:r>
              <w:rPr>
                <w:rFonts w:hint="eastAsia"/>
                <w:vertAlign w:val="baseline"/>
                <w:lang w:val="en-US" w:eastAsia="zh-CN"/>
              </w:rPr>
              <w:t>B</w:t>
            </w:r>
          </w:p>
        </w:tc>
        <w:tc>
          <w:tcPr>
            <w:tcW w:w="4261" w:type="dxa"/>
            <w:vAlign w:val="center"/>
          </w:tcPr>
          <w:p>
            <w:pPr>
              <w:numPr>
                <w:ilvl w:val="0"/>
                <w:numId w:val="0"/>
              </w:numPr>
              <w:jc w:val="center"/>
              <w:rPr>
                <w:rFonts w:hint="default"/>
                <w:vertAlign w:val="baseline"/>
                <w:lang w:val="en-US" w:eastAsia="zh-CN"/>
              </w:rPr>
            </w:pPr>
            <w:r>
              <w:rPr>
                <w:rFonts w:hint="eastAsia"/>
                <w:vertAlign w:val="baseline"/>
                <w:lang w:val="en-US" w:eastAsia="zh-CN"/>
              </w:rPr>
              <w:t>ABC</w:t>
            </w:r>
          </w:p>
        </w:tc>
      </w:tr>
    </w:tbl>
    <w:p>
      <w:pPr>
        <w:pStyle w:val="3"/>
        <w:bidi w:val="0"/>
        <w:rPr>
          <w:rFonts w:hint="eastAsia"/>
          <w:lang w:val="en-US" w:eastAsia="zh-CN"/>
        </w:rPr>
      </w:pPr>
      <w:r>
        <w:rPr>
          <w:rFonts w:hint="eastAsia"/>
          <w:lang w:val="en-US" w:eastAsia="zh-CN"/>
        </w:rPr>
        <w:t>原则二</w:t>
      </w:r>
    </w:p>
    <w:p>
      <w:pPr>
        <w:numPr>
          <w:ilvl w:val="0"/>
          <w:numId w:val="0"/>
        </w:numPr>
        <w:rPr>
          <w:rFonts w:hint="default"/>
          <w:vertAlign w:val="baseline"/>
          <w:lang w:val="en-US" w:eastAsia="zh-CN"/>
        </w:rPr>
      </w:pPr>
      <w:r>
        <w:rPr>
          <w:rFonts w:hint="eastAsia"/>
          <w:lang w:val="en-US" w:eastAsia="zh-CN"/>
        </w:rPr>
        <w:t>观众系统线上同步时的字段核对处理方式：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numPr>
                <w:ilvl w:val="0"/>
                <w:numId w:val="0"/>
              </w:numPr>
              <w:rPr>
                <w:rFonts w:hint="eastAsia"/>
                <w:vertAlign w:val="baseline"/>
                <w:lang w:val="en-US" w:eastAsia="zh-CN"/>
              </w:rPr>
            </w:pPr>
          </w:p>
        </w:tc>
        <w:tc>
          <w:tcPr>
            <w:tcW w:w="2130" w:type="dxa"/>
          </w:tcPr>
          <w:p>
            <w:pPr>
              <w:numPr>
                <w:ilvl w:val="0"/>
                <w:numId w:val="0"/>
              </w:numPr>
              <w:rPr>
                <w:rFonts w:hint="default"/>
                <w:vertAlign w:val="baseline"/>
                <w:lang w:val="en-US" w:eastAsia="zh-CN"/>
              </w:rPr>
            </w:pPr>
            <w:r>
              <w:rPr>
                <w:rFonts w:hint="eastAsia"/>
                <w:vertAlign w:val="baseline"/>
                <w:lang w:val="en-US" w:eastAsia="zh-CN"/>
              </w:rPr>
              <w:t>库内字段</w:t>
            </w:r>
            <w:r>
              <w:rPr>
                <w:rFonts w:hint="eastAsia"/>
                <w:color w:val="FF0000"/>
                <w:vertAlign w:val="baseline"/>
                <w:lang w:val="en-US" w:eastAsia="zh-CN"/>
              </w:rPr>
              <w:t>有</w:t>
            </w:r>
            <w:r>
              <w:rPr>
                <w:rFonts w:hint="eastAsia"/>
                <w:vertAlign w:val="baseline"/>
                <w:lang w:val="en-US" w:eastAsia="zh-CN"/>
              </w:rPr>
              <w:t>内容，库外字段</w:t>
            </w:r>
            <w:r>
              <w:rPr>
                <w:rFonts w:hint="eastAsia"/>
                <w:color w:val="FF0000"/>
                <w:vertAlign w:val="baseline"/>
                <w:lang w:val="en-US" w:eastAsia="zh-CN"/>
              </w:rPr>
              <w:t>无</w:t>
            </w:r>
            <w:r>
              <w:rPr>
                <w:rFonts w:hint="eastAsia"/>
                <w:vertAlign w:val="baseline"/>
                <w:lang w:val="en-US" w:eastAsia="zh-CN"/>
              </w:rPr>
              <w:t>内容</w:t>
            </w:r>
          </w:p>
        </w:tc>
        <w:tc>
          <w:tcPr>
            <w:tcW w:w="2131" w:type="dxa"/>
          </w:tcPr>
          <w:p>
            <w:pPr>
              <w:numPr>
                <w:ilvl w:val="0"/>
                <w:numId w:val="0"/>
              </w:numPr>
              <w:rPr>
                <w:rFonts w:hint="eastAsia"/>
                <w:vertAlign w:val="baseline"/>
                <w:lang w:val="en-US" w:eastAsia="zh-CN"/>
              </w:rPr>
            </w:pPr>
            <w:r>
              <w:rPr>
                <w:rFonts w:hint="eastAsia"/>
                <w:vertAlign w:val="baseline"/>
                <w:lang w:val="en-US" w:eastAsia="zh-CN"/>
              </w:rPr>
              <w:t>库内字段</w:t>
            </w:r>
            <w:r>
              <w:rPr>
                <w:rFonts w:hint="eastAsia"/>
                <w:color w:val="FF0000"/>
                <w:vertAlign w:val="baseline"/>
                <w:lang w:val="en-US" w:eastAsia="zh-CN"/>
              </w:rPr>
              <w:t>有</w:t>
            </w:r>
            <w:r>
              <w:rPr>
                <w:rFonts w:hint="eastAsia"/>
                <w:vertAlign w:val="baseline"/>
                <w:lang w:val="en-US" w:eastAsia="zh-CN"/>
              </w:rPr>
              <w:t>内容，库外字段</w:t>
            </w:r>
            <w:r>
              <w:rPr>
                <w:rFonts w:hint="eastAsia"/>
                <w:color w:val="FF0000"/>
                <w:vertAlign w:val="baseline"/>
                <w:lang w:val="en-US" w:eastAsia="zh-CN"/>
              </w:rPr>
              <w:t>有</w:t>
            </w:r>
            <w:r>
              <w:rPr>
                <w:rFonts w:hint="eastAsia"/>
                <w:vertAlign w:val="baseline"/>
                <w:lang w:val="en-US" w:eastAsia="zh-CN"/>
              </w:rPr>
              <w:t>内容</w:t>
            </w:r>
          </w:p>
        </w:tc>
        <w:tc>
          <w:tcPr>
            <w:tcW w:w="2131" w:type="dxa"/>
          </w:tcPr>
          <w:p>
            <w:pPr>
              <w:numPr>
                <w:ilvl w:val="0"/>
                <w:numId w:val="0"/>
              </w:numPr>
              <w:rPr>
                <w:rFonts w:hint="default"/>
                <w:vertAlign w:val="baseline"/>
                <w:lang w:val="en-US" w:eastAsia="zh-CN"/>
              </w:rPr>
            </w:pPr>
            <w:r>
              <w:rPr>
                <w:rFonts w:hint="eastAsia"/>
                <w:vertAlign w:val="baseline"/>
                <w:lang w:val="en-US" w:eastAsia="zh-CN"/>
              </w:rPr>
              <w:t>库内字段</w:t>
            </w:r>
            <w:r>
              <w:rPr>
                <w:rFonts w:hint="eastAsia"/>
                <w:color w:val="FF0000"/>
                <w:vertAlign w:val="baseline"/>
                <w:lang w:val="en-US" w:eastAsia="zh-CN"/>
              </w:rPr>
              <w:t>无</w:t>
            </w:r>
            <w:r>
              <w:rPr>
                <w:rFonts w:hint="eastAsia"/>
                <w:vertAlign w:val="baseline"/>
                <w:lang w:val="en-US" w:eastAsia="zh-CN"/>
              </w:rPr>
              <w:t>内容，库外字段</w:t>
            </w:r>
            <w:r>
              <w:rPr>
                <w:rFonts w:hint="eastAsia"/>
                <w:color w:val="FF0000"/>
                <w:vertAlign w:val="baseline"/>
                <w:lang w:val="en-US" w:eastAsia="zh-CN"/>
              </w:rPr>
              <w:t>有</w:t>
            </w:r>
            <w:r>
              <w:rPr>
                <w:rFonts w:hint="eastAsia"/>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vertAlign w:val="baseline"/>
                <w:lang w:val="en-US" w:eastAsia="zh-CN"/>
              </w:rPr>
            </w:pPr>
            <w:r>
              <w:rPr>
                <w:rFonts w:hint="eastAsia"/>
                <w:vertAlign w:val="baseline"/>
                <w:lang w:val="en-US" w:eastAsia="zh-CN"/>
              </w:rPr>
              <w:t>库内</w:t>
            </w:r>
          </w:p>
        </w:tc>
        <w:tc>
          <w:tcPr>
            <w:tcW w:w="2130" w:type="dxa"/>
          </w:tcPr>
          <w:p>
            <w:pPr>
              <w:numPr>
                <w:ilvl w:val="0"/>
                <w:numId w:val="0"/>
              </w:numPr>
              <w:rPr>
                <w:rFonts w:hint="default"/>
                <w:vertAlign w:val="baseline"/>
                <w:lang w:val="en-US" w:eastAsia="zh-CN"/>
              </w:rPr>
            </w:pPr>
            <w:r>
              <w:rPr>
                <w:rFonts w:hint="eastAsia"/>
                <w:vertAlign w:val="baseline"/>
                <w:lang w:val="en-US" w:eastAsia="zh-CN"/>
              </w:rPr>
              <w:t>XXXXX</w:t>
            </w:r>
          </w:p>
        </w:tc>
        <w:tc>
          <w:tcPr>
            <w:tcW w:w="2131" w:type="dxa"/>
          </w:tcPr>
          <w:p>
            <w:pPr>
              <w:numPr>
                <w:ilvl w:val="0"/>
                <w:numId w:val="0"/>
              </w:numPr>
              <w:rPr>
                <w:rFonts w:hint="default"/>
                <w:vertAlign w:val="baseline"/>
                <w:lang w:val="en-US" w:eastAsia="zh-CN"/>
              </w:rPr>
            </w:pPr>
            <w:r>
              <w:rPr>
                <w:rFonts w:hint="eastAsia"/>
                <w:vertAlign w:val="baseline"/>
                <w:lang w:val="en-US" w:eastAsia="zh-CN"/>
              </w:rPr>
              <w:t>XXXXXX</w:t>
            </w: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vertAlign w:val="baseline"/>
                <w:lang w:val="en-US" w:eastAsia="zh-CN"/>
              </w:rPr>
            </w:pPr>
            <w:r>
              <w:rPr>
                <w:rFonts w:hint="eastAsia"/>
                <w:vertAlign w:val="baseline"/>
                <w:lang w:val="en-US" w:eastAsia="zh-CN"/>
              </w:rPr>
              <w:t>库外</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r>
              <w:rPr>
                <w:rFonts w:hint="eastAsia"/>
                <w:vertAlign w:val="baseline"/>
                <w:lang w:val="en-US" w:eastAsia="zh-CN"/>
              </w:rPr>
              <w:t>XXXXXX</w:t>
            </w:r>
          </w:p>
        </w:tc>
        <w:tc>
          <w:tcPr>
            <w:tcW w:w="2131" w:type="dxa"/>
          </w:tcPr>
          <w:p>
            <w:pPr>
              <w:numPr>
                <w:ilvl w:val="0"/>
                <w:numId w:val="0"/>
              </w:numPr>
              <w:rPr>
                <w:rFonts w:hint="default"/>
                <w:vertAlign w:val="baseline"/>
                <w:lang w:val="en-US" w:eastAsia="zh-CN"/>
              </w:rPr>
            </w:pPr>
            <w:r>
              <w:rPr>
                <w:rFonts w:hint="eastAsia"/>
                <w:vertAlign w:val="baseline"/>
                <w:lang w:val="en-US" w:eastAsia="zh-CN"/>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vertAlign w:val="baseline"/>
                <w:lang w:val="en-US" w:eastAsia="zh-CN"/>
              </w:rPr>
            </w:pPr>
            <w:r>
              <w:rPr>
                <w:rFonts w:hint="eastAsia"/>
                <w:vertAlign w:val="baseline"/>
                <w:lang w:val="en-US" w:eastAsia="zh-CN"/>
              </w:rPr>
              <w:t>处理方式</w:t>
            </w:r>
          </w:p>
        </w:tc>
        <w:tc>
          <w:tcPr>
            <w:tcW w:w="2130" w:type="dxa"/>
          </w:tcPr>
          <w:p>
            <w:pPr>
              <w:numPr>
                <w:ilvl w:val="0"/>
                <w:numId w:val="0"/>
              </w:numPr>
              <w:rPr>
                <w:rFonts w:hint="default"/>
                <w:vertAlign w:val="baseline"/>
                <w:lang w:val="en-US" w:eastAsia="zh-CN"/>
              </w:rPr>
            </w:pPr>
            <w:r>
              <w:rPr>
                <w:rFonts w:hint="eastAsia"/>
                <w:vertAlign w:val="baseline"/>
                <w:lang w:val="en-US" w:eastAsia="zh-CN"/>
              </w:rPr>
              <w:t>保留库内数据</w:t>
            </w:r>
          </w:p>
        </w:tc>
        <w:tc>
          <w:tcPr>
            <w:tcW w:w="2131" w:type="dxa"/>
          </w:tcPr>
          <w:p>
            <w:pPr>
              <w:numPr>
                <w:ilvl w:val="0"/>
                <w:numId w:val="0"/>
              </w:numPr>
              <w:rPr>
                <w:rFonts w:hint="default"/>
                <w:vertAlign w:val="baseline"/>
                <w:lang w:val="en-US" w:eastAsia="zh-CN"/>
              </w:rPr>
            </w:pPr>
            <w:r>
              <w:rPr>
                <w:rFonts w:hint="eastAsia"/>
                <w:vertAlign w:val="baseline"/>
                <w:lang w:val="en-US" w:eastAsia="zh-CN"/>
              </w:rPr>
              <w:t>根据更新时间原则来判断是用原来库中数据还是线上同步过来的数据</w:t>
            </w:r>
          </w:p>
        </w:tc>
        <w:tc>
          <w:tcPr>
            <w:tcW w:w="2131" w:type="dxa"/>
          </w:tcPr>
          <w:p>
            <w:pPr>
              <w:numPr>
                <w:ilvl w:val="0"/>
                <w:numId w:val="0"/>
              </w:numPr>
              <w:rPr>
                <w:rFonts w:hint="default"/>
                <w:vertAlign w:val="baseline"/>
                <w:lang w:val="en-US" w:eastAsia="zh-CN"/>
              </w:rPr>
            </w:pPr>
            <w:r>
              <w:rPr>
                <w:rFonts w:hint="eastAsia"/>
                <w:vertAlign w:val="baseline"/>
                <w:lang w:val="en-US" w:eastAsia="zh-CN"/>
              </w:rPr>
              <w:t>向库内填充数据</w:t>
            </w:r>
          </w:p>
        </w:tc>
      </w:tr>
    </w:tbl>
    <w:p>
      <w:pPr>
        <w:bidi w:val="0"/>
        <w:rPr>
          <w:rFonts w:hint="eastAsia"/>
          <w:lang w:val="en-US" w:eastAsia="zh-CN"/>
        </w:rPr>
      </w:pPr>
      <w:r>
        <w:rPr>
          <w:rFonts w:hint="eastAsia"/>
          <w:lang w:val="en-US" w:eastAsia="zh-CN"/>
        </w:rPr>
        <w:t>注：</w:t>
      </w:r>
    </w:p>
    <w:p>
      <w:pPr>
        <w:bidi w:val="0"/>
        <w:rPr>
          <w:rFonts w:hint="eastAsia"/>
          <w:lang w:val="en-US" w:eastAsia="zh-CN"/>
        </w:rPr>
      </w:pPr>
      <w:r>
        <w:rPr>
          <w:rFonts w:hint="eastAsia"/>
          <w:lang w:val="en-US" w:eastAsia="zh-CN"/>
        </w:rPr>
        <w:t>1、更新时间原则：</w:t>
      </w:r>
    </w:p>
    <w:p>
      <w:pPr>
        <w:bidi w:val="0"/>
        <w:rPr>
          <w:rFonts w:hint="eastAsia"/>
          <w:lang w:val="en-US" w:eastAsia="zh-CN"/>
        </w:rPr>
      </w:pPr>
      <w:r>
        <w:rPr>
          <w:rFonts w:hint="eastAsia"/>
          <w:lang w:val="en-US" w:eastAsia="zh-CN"/>
        </w:rPr>
        <w:t>将“线上最新的更新时间”与“数据上一次的更新时间”做对比，如此次同步该用户线上最终更新时间为2019年11月10日，该用户上一次的更新时间是2019年12月1日，上一次的更新时间更新，则库中字段不变，否则线上字段替换库中字段。</w:t>
      </w:r>
    </w:p>
    <w:p>
      <w:pPr>
        <w:numPr>
          <w:ilvl w:val="0"/>
          <w:numId w:val="1"/>
        </w:numPr>
        <w:bidi w:val="0"/>
        <w:ind w:left="0" w:leftChars="0" w:firstLine="0" w:firstLineChars="0"/>
        <w:rPr>
          <w:rFonts w:hint="default"/>
          <w:lang w:val="en-US" w:eastAsia="zh-CN"/>
        </w:rPr>
      </w:pPr>
      <w:r>
        <w:rPr>
          <w:rFonts w:hint="eastAsia"/>
          <w:color w:val="FF0000"/>
          <w:lang w:val="en-US" w:eastAsia="zh-CN"/>
        </w:rPr>
        <w:t>在“手机、固话、邮箱、单位、备注”字段上做特殊处理，只叠加不替换。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471A1"/>
    <w:multiLevelType w:val="singleLevel"/>
    <w:tmpl w:val="789471A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70145"/>
    <w:rsid w:val="00321A68"/>
    <w:rsid w:val="0196784E"/>
    <w:rsid w:val="03894F4D"/>
    <w:rsid w:val="03FC49CF"/>
    <w:rsid w:val="042164F7"/>
    <w:rsid w:val="065778AE"/>
    <w:rsid w:val="06D36E65"/>
    <w:rsid w:val="08691B1B"/>
    <w:rsid w:val="0AA61CE8"/>
    <w:rsid w:val="0C8D5267"/>
    <w:rsid w:val="11053DDD"/>
    <w:rsid w:val="11EE03DF"/>
    <w:rsid w:val="14155027"/>
    <w:rsid w:val="14440B98"/>
    <w:rsid w:val="14F32F93"/>
    <w:rsid w:val="15A80000"/>
    <w:rsid w:val="167C097C"/>
    <w:rsid w:val="17627E53"/>
    <w:rsid w:val="196726D6"/>
    <w:rsid w:val="1AE3463D"/>
    <w:rsid w:val="1B00462A"/>
    <w:rsid w:val="1B9762CC"/>
    <w:rsid w:val="1C0B6ED7"/>
    <w:rsid w:val="1DAC6A33"/>
    <w:rsid w:val="1FAC2838"/>
    <w:rsid w:val="22DA786E"/>
    <w:rsid w:val="23A3145F"/>
    <w:rsid w:val="24360886"/>
    <w:rsid w:val="24E148EA"/>
    <w:rsid w:val="25FF4062"/>
    <w:rsid w:val="266979A6"/>
    <w:rsid w:val="270B0582"/>
    <w:rsid w:val="2DF31986"/>
    <w:rsid w:val="31E266C7"/>
    <w:rsid w:val="338357DF"/>
    <w:rsid w:val="348A1947"/>
    <w:rsid w:val="34E930C8"/>
    <w:rsid w:val="398F6E92"/>
    <w:rsid w:val="3B7C0295"/>
    <w:rsid w:val="3BDB2CFD"/>
    <w:rsid w:val="3C4861C4"/>
    <w:rsid w:val="3D712995"/>
    <w:rsid w:val="3D9A1133"/>
    <w:rsid w:val="3E012885"/>
    <w:rsid w:val="3ED9229E"/>
    <w:rsid w:val="3EEF0FD8"/>
    <w:rsid w:val="3F1052C5"/>
    <w:rsid w:val="3F5D0CAC"/>
    <w:rsid w:val="405C7505"/>
    <w:rsid w:val="40DD4ADA"/>
    <w:rsid w:val="43D40E10"/>
    <w:rsid w:val="44ED0C71"/>
    <w:rsid w:val="45980CFB"/>
    <w:rsid w:val="46057501"/>
    <w:rsid w:val="46774C72"/>
    <w:rsid w:val="475E708F"/>
    <w:rsid w:val="47DA3E5E"/>
    <w:rsid w:val="4802157E"/>
    <w:rsid w:val="48CF60BB"/>
    <w:rsid w:val="4D35005C"/>
    <w:rsid w:val="50704207"/>
    <w:rsid w:val="50D47FA1"/>
    <w:rsid w:val="50E568F9"/>
    <w:rsid w:val="521E0B0F"/>
    <w:rsid w:val="55937859"/>
    <w:rsid w:val="563C6B0C"/>
    <w:rsid w:val="589D0098"/>
    <w:rsid w:val="59596A8E"/>
    <w:rsid w:val="59D07BC1"/>
    <w:rsid w:val="5A7F46CC"/>
    <w:rsid w:val="5B6326CA"/>
    <w:rsid w:val="5BB662D5"/>
    <w:rsid w:val="5D6528B4"/>
    <w:rsid w:val="5FAE2951"/>
    <w:rsid w:val="621C23FC"/>
    <w:rsid w:val="63C6460A"/>
    <w:rsid w:val="69DD1D1E"/>
    <w:rsid w:val="6C6A2CFE"/>
    <w:rsid w:val="6F765695"/>
    <w:rsid w:val="6FCB6B41"/>
    <w:rsid w:val="712410FA"/>
    <w:rsid w:val="716958A9"/>
    <w:rsid w:val="719219C1"/>
    <w:rsid w:val="719F265D"/>
    <w:rsid w:val="71F56CC4"/>
    <w:rsid w:val="73C20A09"/>
    <w:rsid w:val="75A7113C"/>
    <w:rsid w:val="76E636B4"/>
    <w:rsid w:val="77213AE3"/>
    <w:rsid w:val="7805301B"/>
    <w:rsid w:val="782F10AB"/>
    <w:rsid w:val="79CC11EA"/>
    <w:rsid w:val="79CF6088"/>
    <w:rsid w:val="7A137D83"/>
    <w:rsid w:val="7A16129E"/>
    <w:rsid w:val="7AA52C6A"/>
    <w:rsid w:val="7AD70145"/>
    <w:rsid w:val="7B6E4513"/>
    <w:rsid w:val="7B847ABF"/>
    <w:rsid w:val="7C416107"/>
    <w:rsid w:val="7CA13EB2"/>
    <w:rsid w:val="7DAB0D79"/>
    <w:rsid w:val="7EAA4F77"/>
    <w:rsid w:val="7ECD22F4"/>
    <w:rsid w:val="7F08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2019-12-05T09:29:00Z</dcterms:created>
  <dc:creator>好久不见</dc:creator>
  <cp:lastModifiedBy>admin</cp:lastModifiedBy>
  <dcterms:modified xsi:type="dcterms:W3CDTF">2019-12-06T08:34:48Z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